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b/>
          <w:sz w:val="36"/>
        </w:rPr>
        <w:t>Il Ciclo della Fiducia</w:t>
      </w:r>
    </w:p>
    <w:p>
      <w:pPr>
        <w:pStyle w:val="SubtitleCustom"/>
      </w:pPr>
      <w:r>
        <w:t>Narrazione, realtà e rottura nei sistemi economici contemporanei</w:t>
      </w:r>
    </w:p>
    <w:p>
      <w:pPr>
        <w:pStyle w:val="AbstractTitle"/>
      </w:pPr>
      <w:r>
        <w:t>Abstract</w:t>
      </w:r>
    </w:p>
    <w:p>
      <w:r>
        <w:t>Questo lavoro propone la Teoria del Ciclo della Fiducia (CTF) come modello interpretativo interdisciplinare dei cicli economici contemporanei. L’ipotesi centrale è che le crisi sistemiche non inizino quando i mercati cadono, ma quando la distanza tra narrazione e realtà supera la capacità delle istituzioni di sostenerla. In tale prospettiva, il prezzo non inaugura la crisi: la rende visibile. Il modello formalizza questa divergenza attraverso una variabile composita, Delta_CTF, che integra lo scarto tra fiducia percepita e fiducia reale e lo scarto tra narrazione sistemica e realtà materiale. Il paper combina teoria dei sistemi, economia finanziaria, psicologia cognitiva e storia economica per mostrare come le grandi fratture contemporanee — dalla dot-com al 2008, dalla pandemia del 2020 alla crisi energetica del 2022 fino alla saturazione 2022–2026 — siano leggibili come manifestazioni successive di una medesima struttura: espansione narrativa, saturazione, rottura, paura, ritirata della fiducia e ricerca di nuove forme verificabili di coordinamento. Il contributo del lavoro è duplice. Da un lato, propone una griglia teorica che unifica bolle narrative, boom del credito, shock psicologici, shock energetici e logoramento della moneta. Dall’altro, distingue tra casi pienamente compatibili con la teoria e casi-limite — come il crash del 1987 — che ne affinano la selettività. La tesi finale è che la crisi non vada compresa solo come cedimento economico, ma come riemersione del reale dopo un periodo di differimento simbolico, e che la decentralizzazione emerga non come utopia ideologica, ma come conseguenza della regressione del centro.</w:t>
      </w:r>
    </w:p>
    <w:p>
      <w:pPr>
        <w:pStyle w:val="Keywords"/>
      </w:pPr>
      <w:r>
        <w:rPr>
          <w:b/>
        </w:rPr>
        <w:t xml:space="preserve">Parole chiave: </w:t>
      </w:r>
      <w:r>
        <w:t>fiducia; narrazione; crisi finanziarie; credito; shock energetici; moneta; decentralizzazione; Bitcoin.</w:t>
      </w:r>
    </w:p>
    <w:p>
      <w:pPr>
        <w:pStyle w:val="Heading1"/>
      </w:pPr>
      <w:r>
        <w:t>1. Incipit teorico</w:t>
      </w:r>
    </w:p>
    <w:p>
      <w:pPr/>
      <w:r>
        <w:t>Le crisi non iniziano quando i mercati cadono, ma quando la realtà smette di obbedire alla narrazione. Ciò che viene comunemente definito crisi coincide, più spesso, con il punto in cui una costruzione simbolica non riesce più a sostenere la distanza accumulata dal reale. Il problema, dunque, non è soltanto economico. È epistemico, politico e percettivo: riguarda il momento in cui un sistema perde la capacità di trasformare la rappresentazione in ordine, l’ordine in continuità e la continuità in fiducia [1][2][3].</w:t>
      </w:r>
    </w:p>
    <w:p>
      <w:pPr/>
      <w:r>
        <w:t>Il XXI secolo non ha attraversato eventi isolati, ma la ricorrenza di una medesima frattura, ogni volta espressa attraverso oggetti differenti: tecnologia, credito, sicurezza, energia, moneta. Dot-com, subprime, pandemia, guerra, inflazione: non episodi autonomi, ma configurazioni successive di uno stesso processo di espansione narrativa, saturazione sistemica e rottura. Prima si amplia la rappresentazione. Poi si approfondisce lo scarto tra ciò che il sistema dichiara e ciò che il reale prepara. Poi sopraggiunge la rottura. Alla rottura segue la paura; alla paura segue la caduta della fiducia [4][5].</w:t>
      </w:r>
    </w:p>
    <w:p>
      <w:pPr/>
      <w:r>
        <w:t>La Teoria del Ciclo della Fiducia (CTF) nasce da questa sequenza. L’ipotesi centrale del presente lavoro è che i sistemi contemporanei non collassino per improvvisa assenza di valore, ma per l’impossibilità crescente di continuare a separare ciò che raccontano da ciò che sono. In questa prospettiva, la crisi non rappresenta un’anomalia del sistema, ma il momento in cui la divergenza tra narrazione e realtà supera la capacità delle istituzioni di sostenerla. Il mercato, allora, non genera la crisi: la rende visibile. Il prezzo non inaugura la rottura, ma la rappresenta [1][4][5].</w:t>
      </w:r>
    </w:p>
    <w:p>
      <w:pPr>
        <w:pStyle w:val="Heading1"/>
      </w:pPr>
      <w:r>
        <w:t>2. Definizioni operative</w:t>
      </w:r>
    </w:p>
    <w:p>
      <w:pPr/>
      <w:r>
        <w:t>Nel presente lavoro, “narrazione” non designa il semplice discorso pubblico, ma l’insieme delle forme attraverso cui un sistema giustifica sé stesso, ordina il consenso e rende tollerabile la distanza tra esperienza vissuta e rappresentazione ufficiale. La narrazione è politica, monetaria, mediatica e culturale insieme: non descrive soltanto il mondo, ma ne protegge la continuità simbolica [1][2].</w:t>
      </w:r>
    </w:p>
    <w:p>
      <w:pPr/>
      <w:r>
        <w:t>Per “realtà” si intende, invece, il limite che resiste alla mediazione: il costo materiale, la scarsità, il potere d’acquisto, l’energia, il rischio, la vulnerabilità concreta dei corpi e delle istituzioni. La realtà non coincide con ciò che viene percepito, ma con ciò che, prima o poi, torna a imporsi anche contro la rappresentazione [3][7].</w:t>
      </w:r>
    </w:p>
    <w:p>
      <w:pPr/>
      <w:r>
        <w:t>Per “fiducia”, infine, non si intende un sentimento generico, bensì la disponibilità collettiva a riconoscere come legittimo un ordine del valore, del senso e dello scambio. La fiducia è ciò che consente alla narrazione di operare come struttura; quando essa si indebolisce, il sistema non perde soltanto stabilità economica, ma la capacità stessa di trasformare il proprio racconto in realtà condivisa [1][5].</w:t>
      </w:r>
    </w:p>
    <w:p>
      <w:pPr/>
      <w:r>
        <w:t>A partire da tali definizioni, la CTF assume che ogni fase espansiva sia resa possibile da un aumento dello scarto tra ciò che il sistema afferma e ciò che il reale già contiene. Questo scarto non è immediatamente visibile, perché viene assorbito dalle istituzioni, dal credito, dall’informazione e dalla promessa di continuità. Finché tale assorbimento regge, la narrazione continua a funzionare come ordine. Quando invece il divario supera una soglia non più sostenibile, la mediazione si incrina: la rottura diventa percepibile, la paura emerge come primo effetto umano del cedimento e la fiducia comincia a ritirarsi dal centro che fino a quel momento l’aveva amministrata [1][3][5].</w:t>
      </w:r>
    </w:p>
    <w:p>
      <w:pPr>
        <w:pStyle w:val="Heading1"/>
      </w:pPr>
      <w:r>
        <w:t>3. Formalizzazione del modello CTF</w:t>
      </w:r>
    </w:p>
    <w:p>
      <w:pPr/>
      <w:r>
        <w:t>Per evitare che il modello resti soltanto descrittivo, il presente lavoro introduce una formalizzazione minima della divergenza sistemica. Tale formalizzazione non pretende, in questa fase, di offrire una stima econometrica definitiva; il suo scopo è rendere esplicita la struttura dinamica del rapporto tra fiducia, narrazione e realtà materiale.</w:t>
      </w:r>
    </w:p>
    <w:p>
      <w:pPr>
        <w:pStyle w:val="Heading2"/>
      </w:pPr>
      <w:r>
        <w:t>3.1 Variabile fiduciaria</w:t>
      </w:r>
    </w:p>
    <w:p>
      <w:pPr>
        <w:pStyle w:val="EquationStyle"/>
      </w:pPr>
      <w:r>
        <w:t>Δ_T(t) = [T_p(t) − T_r(t)] / T_r(t)</w:t>
      </w:r>
    </w:p>
    <w:p>
      <w:pPr/>
      <w:r>
        <w:t>dove T_p(t) rappresenta la fiducia percepita e T_r(t) la fiducia reale.</w:t>
      </w:r>
    </w:p>
    <w:p>
      <w:pPr>
        <w:pStyle w:val="Heading2"/>
      </w:pPr>
      <w:r>
        <w:t>3.2 Variabile narrativa</w:t>
      </w:r>
    </w:p>
    <w:p>
      <w:pPr>
        <w:pStyle w:val="EquationStyle"/>
      </w:pPr>
      <w:r>
        <w:t>Δ_N(t) = [N(t) − R(t)] / R(t)</w:t>
      </w:r>
    </w:p>
    <w:p>
      <w:pPr/>
      <w:r>
        <w:t>dove N(t) indica l’intensità della narrazione sistemica e R(t) la consistenza del reale materiale.</w:t>
      </w:r>
    </w:p>
    <w:p>
      <w:pPr>
        <w:pStyle w:val="Heading2"/>
      </w:pPr>
      <w:r>
        <w:t>3.3 Variabile composita del Ciclo della Fiducia</w:t>
      </w:r>
    </w:p>
    <w:p>
      <w:pPr>
        <w:pStyle w:val="EquationStyle"/>
      </w:pPr>
      <w:r>
        <w:t>Δ_CTF(t) = w1 · Δ_T(t) + w2 · Δ_N(t), con w1 + w2 = 1</w:t>
      </w:r>
    </w:p>
    <w:p>
      <w:pPr/>
      <w:r>
        <w:t>Questa formula permette di tenere insieme i due nuclei del modello: la fiducia e la narrazione. La crisi non nasce soltanto quando la fiducia si deforma, ma quando la narrazione e la fiducia, insieme, si separano dal reale oltre una soglia assorbibile [1][3][5].</w:t>
      </w:r>
    </w:p>
    <w:p>
      <w:pPr>
        <w:pStyle w:val="Heading2"/>
      </w:pPr>
      <w:r>
        <w:t>3.4 Dinamica di fase</w:t>
      </w:r>
    </w:p>
    <w:p>
      <w:pPr/>
      <w:r>
        <w:t>F1 – Espansione narrativa</w:t>
      </w:r>
    </w:p>
    <w:p>
      <w:pPr>
        <w:pStyle w:val="EquationStyle"/>
      </w:pPr>
      <w:r>
        <w:t>Δ_CTF(t) &gt; 0   e   d[Δ_CTF(t)]/dt &gt; 0</w:t>
      </w:r>
    </w:p>
    <w:p>
      <w:pPr/>
      <w:r>
        <w:t>F2 – Rottura e deflazione</w:t>
      </w:r>
    </w:p>
    <w:p>
      <w:pPr>
        <w:pStyle w:val="EquationStyle"/>
      </w:pPr>
      <w:r>
        <w:t>Δ_CTF(t) ≥ Δ*   e poi   d[Δ_CTF(t)]/dt &lt; 0</w:t>
      </w:r>
    </w:p>
    <w:p>
      <w:pPr/>
      <w:r>
        <w:t>F3 – Riassetto post-rottura</w:t>
      </w:r>
    </w:p>
    <w:p>
      <w:pPr>
        <w:pStyle w:val="EquationStyle"/>
      </w:pPr>
      <w:r>
        <w:t>Δ_CTF(t) → 0</w:t>
      </w:r>
    </w:p>
    <w:p>
      <w:pPr/>
      <w:r>
        <w:t>dove Δ* rappresenta la soglia critica di rottura.</w:t>
      </w:r>
    </w:p>
    <w:p>
      <w:pPr>
        <w:pStyle w:val="Heading2"/>
      </w:pPr>
      <w:r>
        <w:t>3.5 Sequenza causale sintetica</w:t>
      </w:r>
    </w:p>
    <w:p>
      <w:pPr>
        <w:pStyle w:val="EquationStyle"/>
      </w:pPr>
      <w:r>
        <w:t>N ↑  -&gt;  Δ ↑  -&gt;  rottura  -&gt;  P ↑  -&gt;  I ↓  -&gt;  V ↑</w:t>
      </w:r>
    </w:p>
    <w:p>
      <w:pPr/>
      <w:r>
        <w:t>dove P indica la paura, I la fiducia nelle istituzioni e V la verificabilità decentralizzata. La sequenza descrive la logica del modello: espansione narrativa, accumulo dello scarto, rottura, paura, ritiro della fiducia istituzionale e ricerca di nuove forme verificabili di coordinamento [1][7][8].</w:t>
      </w:r>
    </w:p>
    <w:p>
      <w:pPr>
        <w:pStyle w:val="Heading1"/>
      </w:pPr>
      <w:r>
        <w:t>4. Metodo e criteri di osservazione empirica</w:t>
      </w:r>
    </w:p>
    <w:p>
      <w:pPr/>
      <w:r>
        <w:t>Il modello viene osservato attraverso proxy storici che non pretendono di esaurire la teoria, ma di renderla empiricamente discutibile. I principali indicatori adottati sono: CAPE ratio per l’euforia valutativa; crescita del credito e leva per l’espansione della promessa nel debito; velocità della moneta (M2V) per il rapporto tra circuito monetario e attività reale; consumer confidence per la componente percettiva; prezzi energetici per il ritorno del vincolo materiale; spread sovrani e contagio bancario per la crisi di credibilità del centro; dollarizzazione e cryptoization per la sostituzione della misura del valore [10][11][15][16][19][20][21][22]. I lavori NBER sui boom del credito mostrano che la crescita del credito emerge come uno dei migliori predittori delle crisi finanziarie, mentre World Bank e IMF collocano le grandi recessioni recenti in sequenze più ampie di vulnerabilità sistemica.</w:t>
      </w:r>
    </w:p>
    <w:p>
      <w:pPr/>
      <w:r>
        <w:t>Sul piano metodologico, il paper adotta tre criteri di robustezza. Il primo è la convergenza storica: la teoria viene ritenuta plausibile se episodi differenti mostrano una struttura ricorrente. Il secondo è la selettività: non ogni caduta di prezzo è una crisi del ciclo della fiducia. Il terzo è la falsificabilità parziale: il modello deve poter distinguere i casi in cui il prezzo anticipa una frattura sistemica dai casi in cui resta un semplice shock di mercato. Questo approccio evita sia la vaghezza filosofica sia il determinismo meccanico.</w:t>
      </w:r>
    </w:p>
    <w:p>
      <w:pPr>
        <w:pStyle w:val="Heading1"/>
      </w:pPr>
      <w:r>
        <w:t>5. Le prove storiche del ciclo</w:t>
      </w:r>
    </w:p>
    <w:p>
      <w:pPr>
        <w:pStyle w:val="Heading1"/>
      </w:pPr>
      <w:r>
        <w:t>5.1 Dot-com: la promessa che pretende di sostituire il valore</w:t>
      </w:r>
    </w:p>
    <w:p>
      <w:pPr/>
      <w:r>
        <w:t>La bolla dot-com costituisce la prima forma moderna, pienamente leggibile, di inflazione narrativa del valore. Alla fine degli anni Novanta la promessa tecnologica cessa progressivamente di essere una prospettiva di trasformazione e diventa una struttura di legittimazione autonoma: non è più il valore a sostenere la narrazione, ma la narrazione a pretendere di sostituire il valore. I dati storici di Shiller mostrano valutazioni eccezionalmente elevate attorno al picco del 2000, e la successiva caduta del Nasdaq — dell’ordine del 78% dal massimo al minimo — rende visibile lo scarto accumulato tra promessa e sostanza. In questo caso il prezzo non inaugura la crisi: la registra quando la promessa non riesce più a sostenere il proprio eccesso simbolico [4][11].</w:t>
      </w:r>
    </w:p>
    <w:p>
      <w:pPr/>
      <w:r>
        <w:t>La dot-com mostra che una civiltà può finanziare il futuro prima ancora di averlo prodotto. Ma mostra anche che questa anticipazione, se non trova ancoraggio nel reale, trasforma la crescita in fragilità differita. È il primo grande episodio in cui la narrazione non accompagna il valore: lo anticipa, poi tenta di sostituirlo [4].</w:t>
      </w:r>
    </w:p>
    <w:p>
      <w:pPr>
        <w:pStyle w:val="Heading1"/>
      </w:pPr>
      <w:r>
        <w:t>5.2 Subprime: la promessa si reincarna nel debito</w:t>
      </w:r>
    </w:p>
    <w:p>
      <w:pPr/>
      <w:r>
        <w:t>Il 2008 segna un salto qualitativo. Se la dot-com aveva mostrato che la narrazione può anticipare valore oltre la sostanza disponibile, la crisi dei subprime dimostra che il sistema può fare un passo ulteriore: reincarnare quella promessa nel debito, distribuirla, cartolarizzarla e infine normalizzarla. Il credito non opera più come strumento al servizio dell’economia reale; diventa il dispositivo attraverso cui il sistema prolunga artificialmente la propria continuità [5].</w:t>
      </w:r>
    </w:p>
    <w:p>
      <w:pPr/>
      <w:r>
        <w:t>La World Bank colloca il 2009 tra le quattro grandi recessioni globali del dopoguerra; la letteratura NBER sui credit booms mostra che l’espansione del credito emerge come il miglior predittore singolo dell’instabilità finanziaria. Il significato profondo del 2008 è quindi che il sistema continua a trattare come solido ciò che aveva già cessato di esserlo. Il debito funziona come tecnologia della dilazione: rinvia il confronto con il reale, compra tempo, distribuisce l’instabilità e la maschera da crescita. Il QE evita che la rottura completi subito il proprio lavoro, ma non ricompone il rapporto tra narrazione e realtà: la deflazione viene sospesa, non risolta [5][10][12][13].</w:t>
      </w:r>
    </w:p>
    <w:p>
      <w:pPr>
        <w:pStyle w:val="Heading1"/>
      </w:pPr>
      <w:r>
        <w:t>5.3 Crisi istituzionale prima che finanziaria: Asia 1997–98 ed eurozona 2010–12</w:t>
      </w:r>
    </w:p>
    <w:p>
      <w:pPr/>
      <w:r>
        <w:t>L’Asia 1997–98 mostra che la crisi può nascere prima dalla perdita di credibilità del regime che dal crollo immediato del prezzo. L’IMF descrive la crisi asiatica come il risultato di brusche inversioni dei flussi di capitale dopo anni di forti afflussi; in altri termini, prima si spezza la fiducia nella sostenibilità dell’ordine — cambio, credito, finanziamento esterno — e poi il mercato traduce tale rottura in fuga, svalutazione e recessione [24].</w:t>
      </w:r>
    </w:p>
    <w:p>
      <w:pPr/>
      <w:r>
        <w:t>L’eurozona 2010–12 aggiunge una conferma ancora più netta. I lavori della BCE mostrano che rischio sovrano e rischio bancario si sono alimentati reciprocamente nel cosiddetto sovereign-bank nexus. Qui il mercato non inventa la crisi: la traduce in spread, downgrade e contagio una volta incrinata la credibilità del centro istituzionale. È quasi un caso da manuale dell’idea che il prezzo arrivi dopo come superficie visibile di una frattura di legittimazione [19].</w:t>
      </w:r>
    </w:p>
    <w:p>
      <w:pPr>
        <w:pStyle w:val="Heading1"/>
      </w:pPr>
      <w:r>
        <w:t>5.4 2019–2020: la deflazione psicologica</w:t>
      </w:r>
    </w:p>
    <w:p>
      <w:pPr/>
      <w:r>
        <w:t>Il 2020 è probabilmente il caso più pulito dell’asse rottura -&gt; paura -&gt; fiducia. La World Bank ha descritto il 2020 come la recessione globale più profonda dalla Seconda guerra mondiale; l’IMF stimò per il 2020 una contrazione dell’economia mondiale del 3,3%; il Conference Board mostra che la fiducia dei consumatori negli Stati Uniti scese da 132,6 nel febbraio 2020 a 85,7 nell’aprile 2020. Qui la crisi non si apre prima sull’asset o sull’energia, ma sulla continuità del mondo vissuto: corpo, tempo, prossimità, previsione del futuro [14][15][17].</w:t>
      </w:r>
    </w:p>
    <w:p>
      <w:pPr/>
      <w:r>
        <w:t>La pandemia costituisce così una deflazione psicologica. La paura precede il ritiro della fiducia e quest’ultimo precede la piena traduzione della crisi nei mercati. Alla contrazione del reale il sistema risponde con liquidità, compensazione monetaria e continuità narrativa; ma proprio questa anestesia impedisce la vera purificazione e prepara la fase successiva. La crisi non viene negata: viene amministrata [14][18].</w:t>
      </w:r>
    </w:p>
    <w:p>
      <w:pPr>
        <w:pStyle w:val="Heading1"/>
      </w:pPr>
      <w:r>
        <w:t>5.5 L’energia come catalizzatore materiale ricorrente</w:t>
      </w:r>
    </w:p>
    <w:p>
      <w:pPr/>
      <w:r>
        <w:t>La parte più robusta della teoria riguarda il ruolo dell’energia. Hamilton osserva che tutte tranne una delle undici recessioni statunitensi del dopoguerra erano associate a un aumento del prezzo del petrolio. La World Bank collega esplicitamente il 1975 allo shock petrolifero del 1973-74 e il 1982 alla sequenza che include il secondo shock petrolifero, la Great Inflation e la stretta monetaria successiva. Questo non prova che tutte le crisi siano “energetiche”, ma conferma con forza la formula più precisa della CTF: l’energia ricorre come catalizzatore materiale del ritorno del reale [13][16].</w:t>
      </w:r>
    </w:p>
    <w:p>
      <w:pPr/>
      <w:r>
        <w:t>Gli shock energetici, quindi, non sono meri “fattori esterni”. Sono spesso il momento in cui il sistema non riesce più a far obbedire il valore alle proprie costruzioni simboliche. Costo, scarsità, logistica e potenza rientrano allora come verità non negoziabili [16].</w:t>
      </w:r>
    </w:p>
    <w:p>
      <w:pPr>
        <w:pStyle w:val="Heading1"/>
      </w:pPr>
      <w:r>
        <w:t>5.6 2022–2026: accumulo non deflattivo e soglia della rottura</w:t>
      </w:r>
    </w:p>
    <w:p>
      <w:pPr/>
      <w:r>
        <w:t>Il ciclo 2022–2026 è leggibile come accumulo non deflattivo. L’IEA definisce l’invasione russa dell’Ucraina del febbraio 2022 come l’innesco della prima vera crisi energetica globale. La World Bank stimava nello stesso anno un aumento dei prezzi energetici di oltre il 50%. Ancora più importante, sia IEA sia World Bank sottolineano che molte tensioni precedevano l’invasione: la guerra non crea dal nulla il limite, ma lo porta oltre la soglia narrativa [17][18].</w:t>
      </w:r>
    </w:p>
    <w:p>
      <w:pPr/>
      <w:r>
        <w:t>Per questo il periodo 2022–2025 non va interpretato come adattamento, ma come saturazione crescente. Ogni shock successivo non scarica il sistema: lo alimenta. La corsa al valore si intensifica proprio mentre la moneta che dovrebbe misurarlo si deforma. In questa prospettiva, il 2026 non è una crisi in più, ma la convergenza di fratture precedenti in un’unica soglia di rottura. Qui la teoria è forte come struttura interpretativa; resta aperta, come è giusto che sia in un paper serio, sul grado e sulla forma definitiva della chiusura storica [5][7][8].</w:t>
      </w:r>
    </w:p>
    <w:p>
      <w:pPr>
        <w:pStyle w:val="Heading1"/>
      </w:pPr>
      <w:r>
        <w:t>5.7 Il caso-limite: il 1987</w:t>
      </w:r>
    </w:p>
    <w:p>
      <w:pPr/>
      <w:r>
        <w:t>Per evitare rigidità dogmatiche, la teoria deve includere almeno un caso che la renda più selettiva. Il 1987 è quel caso. La Federal Reserve History ricorda che Black Monday fu un crollo violentissimo — il Dow perse il 22,6% in una sola seduta — ma che le perdite non furono seguite da recessione o crisi bancaria. Questo significa che non ogni crash di mercato è un ciclo completo di rottura della fiducia. Alcuni eventi restano crisi di prezzo; altri rivelano una frattura più profonda tra narrazione e realtà. Il 1987 non smentisce la CTF: la obbliga a distinguere tra correzione estrema e collasso sistemico [23].</w:t>
      </w:r>
    </w:p>
    <w:p>
      <w:pPr>
        <w:pStyle w:val="Heading1"/>
      </w:pPr>
      <w:r>
        <w:t>6. Moneta, sostituzione valutaria e Bitcoin</w:t>
      </w:r>
    </w:p>
    <w:p>
      <w:pPr/>
      <w:r>
        <w:t>Uno dei punti più forti del modello riguarda il logoramento della moneta. La crisi monetaria non inizia quando una valuta cessa formalmente di esistere, ma quando perde prima la capacità di rappresentare il valore reale e solo dopo la propria credibilità simbolica. La letteratura IMF, BIS e FSB conferma che, quando la fiducia nella moneta si indebolisce, gli agenti economici possono spostarsi verso forme alternative di misura e trasferimento del valore. Il BIS insiste che la fiducia nel valore stabile della moneta è una condizione essenziale del sistema monetario; l’IMF sottolinea che framework monetari deboli e istituzioni poco credibili aumentano il rischio di sostituzione verso dollari, stablecoin o altri crypto-assets [21][22].</w:t>
      </w:r>
    </w:p>
    <w:p>
      <w:pPr/>
      <w:r>
        <w:t>Il caso del Libano mostra con particolare chiarezza questo meccanismo: l’IMF documenta che il tasso di dollarizzazione passò in due anni da circa il 35% al 93% secondo una definizione, e dal 61% al 98% secondo un’altra. Questo non prova Bitcoin come esito necessario, ma prova il meccanismo centrale della teoria: quando la moneta perde fiducia, il sistema cerca altre unità di misura e di scambio [20].</w:t>
      </w:r>
    </w:p>
    <w:p>
      <w:pPr/>
      <w:r>
        <w:t>In questo quadro Bitcoin occupa un posto preciso. Non come eccezione che evita la crisi, né come esito già storicamente compiuto, ma come anticipazione di una forma di coordinamento che diventa intelligibile quando la misura monetaria precedente si logora. Qui la teoria è forte sul meccanismo e più prudente sull’esito storico finale: il logoramento della moneta e la ricerca di alternative sono ben documentati; che Bitcoin diventi l’esito prevalente resta una tesi teorica plausibile, ma ancora non definitivamente chiusa dalla storia [9][21][22].</w:t>
      </w:r>
    </w:p>
    <w:p>
      <w:pPr>
        <w:pStyle w:val="Heading1"/>
      </w:pPr>
      <w:r>
        <w:t>7. La decentralizzazione come regressione del centro</w:t>
      </w:r>
    </w:p>
    <w:p>
      <w:pPr/>
      <w:r>
        <w:t>La decentralizzazione, in questa prospettiva, non è una preferenza ideologica ma una conseguenza funzionale. La crisi dell’eurozona ha mostrato quanto il centro possa diventare vulnerabile quando rischio sovrano, sistema bancario e legittimazione istituzionale si avvitano insieme; i lavori BIS e IMF sulla fiducia nella moneta mostrano che, quando il centro non garantisce più singolarità e credibilità della misura, gli attori economici cercano architetture alternative. La decentralizzazione emerge dunque quando il centro non scompare ma arretra: continua a esistere, ma non riesce più a detenere nello stesso modo il monopolio del valore, del senso e della fiducia [19][22].</w:t>
      </w:r>
    </w:p>
    <w:p>
      <w:pPr/>
      <w:r>
        <w:t>Questo passaggio non va idealizzato. Non elimina conflitto ed errore. Ma segnala una trasformazione decisiva: la stabilità non può più essere prodotta solo per via verticale. Deve tornare a fondarsi, almeno in parte, su ciò che si lascia verificare. È questo il contesto in cui Bitcoin, o altre architetture di fiducia verificabile, cessano di apparire semplici deviazioni speculative e diventano intelligibili come forme di coordinamento post-centrale [8][9].</w:t>
      </w:r>
    </w:p>
    <w:p>
      <w:pPr>
        <w:pStyle w:val="Heading1"/>
      </w:pPr>
      <w:r>
        <w:t>8. Limiti del modello e criteri di falsificazione</w:t>
      </w:r>
    </w:p>
    <w:p>
      <w:pPr/>
      <w:r>
        <w:t>Per essere difendibile a livello universitario elevato, la CTF deve esplicitare anche i propri limiti.</w:t>
      </w:r>
    </w:p>
    <w:p>
      <w:pPr/>
      <w:r>
        <w:t>Primo: la teoria non sostiene che ogni caduta di mercato sia una crisi sistemica. Il caso del 1987 mostra che possono esistere crolli di prezzo senza una rottura profonda della fiducia [23].</w:t>
      </w:r>
    </w:p>
    <w:p>
      <w:pPr/>
      <w:r>
        <w:t>Secondo: la teoria non sostiene che l’energia sia la causa unica e universale di ogni crisi; sostiene piuttosto che l’energia ricorra come catalizzatore materiale privilegiato del ritorno del reale [16].</w:t>
      </w:r>
    </w:p>
    <w:p>
      <w:pPr/>
      <w:r>
        <w:t>Terzo: la teoria non prova che Bitcoin debba necessariamente diventare la forma dominante del nuovo ordine monetario; mostra che il logoramento della moneta e la ricerca di misure alternative sono coerenti con il suo emergere possibile [20][21][22].</w:t>
      </w:r>
    </w:p>
    <w:p>
      <w:pPr/>
      <w:r>
        <w:t>Il modello sarebbe falsificato o indebolito in almeno tre casi: (1) se si osservassero ripetutamente crisi sistemiche di ampia portata senza alcuna divergenza significativa tra narrazione e realtà; (2) se i grandi boom del credito e della leva non precedessero più le rotture macrofinanziarie; (3) se il logoramento della moneta non producesse, nemmeno in contesti estremi, alcuna spinta verso misure o asset alternativi di valore. Questa esplicitazione dei limiti non indebolisce il paper; lo rende più serio.</w:t>
      </w:r>
    </w:p>
    <w:p>
      <w:pPr>
        <w:pStyle w:val="Heading1"/>
      </w:pPr>
      <w:r>
        <w:t>9. Conclusione</w:t>
      </w:r>
    </w:p>
    <w:p>
      <w:pPr/>
      <w:r>
        <w:t>La Teoria del Ciclo della Fiducia prende forma a partire da un’evidenza che l’economia, da sola, non basta a nominare: le crisi non coincidono con la caduta del prezzo, ma con il venir meno della capacità sistemica di trasformare una narrazione in ordine condiviso. Il mercato interviene dopo. Rende visibile ciò che si è già spezzato altrove. Prima si incrina il principio che legittima il sistema; poi si deforma la misura del valore; infine la rappresentazione perde la forza necessaria a continuare a imporsi come realtà [1][5].</w:t>
      </w:r>
    </w:p>
    <w:p>
      <w:pPr/>
      <w:r>
        <w:t>L’ipotesi centrale di questo lavoro è che ogni ciclo storico significativo segua una sequenza riconoscibile: espansione narrativa, saturazione, rottura, paura, ritirata della fiducia, riemersione del reale. Le crisi analizzate mostrano che tale processo non assume sempre la stessa forma, ma conserva una medesima struttura. La dot-com ha rappresentato la prima grande inflazione narrativa del valore. I subprime hanno segnato la trasformazione della promessa in debito. Il ciclo 2019–2026 ha aggiunto un livello ulteriore di complessità: prima la frattura psicologica, poi il ritorno del limite materiale attraverso l’energia, quindi la corsa al valore, infine la convergenza di tensioni che non hanno più defluito ma si sono sommate fino alla soglia della rottura [4][5][10][11][14][17][18].</w:t>
      </w:r>
    </w:p>
    <w:p>
      <w:pPr/>
      <w:r>
        <w:t>Un punto decisivo emerso da questa teoria riguarda il ruolo dell’energia. Essa non compare come causa unica e universale di ogni crisi, ma come catalizzatore materiale ricorrente, capace di rendere visibile un limite già maturato nel sistema. La moneta, a sua volta, non fallisce d’un colpo: si logora prima nella sostanza e poi nel simbolo. È in questo spazio che si comprende il ruolo di Bitcoin: non come eccezione che evita la crisi, ma come anticipazione di una forma di scambio che diventa intelligibile solo dopo l’indebolimento della misura precedente [9][17][18][21][22].</w:t>
      </w:r>
    </w:p>
    <w:p>
      <w:pPr/>
      <w:r>
        <w:t>Da qui deriva anche il significato della decentralizzazione. Essa non va interpretata come utopia tecnica o come semplice opzione politica. Emerge, piuttosto, come conseguenza della regressione del centro. Quando il centro arretra, la fiducia tende a redistribuirsi: verso reti, protocolli, nodi, comunità di verifica. Questo non elimina il conflitto, né garantisce automaticamente un ordine giusto. Ma segnala una trasformazione decisiva: la stabilità non può più essere prodotta soltanto per via verticale. Deve tornare a fondarsi, almeno in parte, su ciò che si lascia verificare [1][6][8][9].</w:t>
      </w:r>
    </w:p>
    <w:p>
      <w:pPr/>
      <w:r>
        <w:t>Il nucleo filosofico della teoria si trova qui: la verità può essere ritardata, ma non abolita. Una costruzione fondata sulla distorsione può durare a lungo, ma per durare deve consumare energia simbolica crescente. Ha bisogno di controllo, di mediazione, di legittimazione continua. Il reale, invece, attende. Non scompare perché viene negato. Si accumula. E quando torna, non torna come opinione, ma come limite [1][7].</w:t>
      </w:r>
    </w:p>
    <w:p>
      <w:pPr/>
      <w:r>
        <w:t>La Teoria del Ciclo della Fiducia conduce dunque a una conclusione precisa: i sistemi umani non collassano solo per errori economici o per eventi esterni, ma perché tentano troppo a lungo di preservare il valore separandolo dalla verità. Ogni espansione che si fonda su questa separazione genera prima crescita, poi saturazione, poi rottura. Ogni rottura apre paura. Ogni paura ritira fiducia dal centro. E ogni ritiro della fiducia prepara, nel dolore, una nuova possibilità di ordine. Il ciclo non si chiude quindi con una semplice distruzione. Si chiude con una riapparizione: quella del reale, della misura, del limite, della verità.</w:t>
      </w:r>
    </w:p>
    <w:p>
      <w:pPr/>
      <w:r>
        <w:t>In ultima istanza, il Ciclo della Fiducia non descrive soltanto la patologia di un ordine che crolla. Descrive la fisiologia storica attraverso cui il vero torna a reclamare il proprio posto. La storia non procede in linea retta. Si espande, si illude, si satura, si rompe, si ricompone. E ogni volta che la realtà smette di obbedire alla narrazione, non finisce soltanto un equilibrio: finisce una forma della menzogna. Da quella fine può nascere un ordine più duro, più sobrio, meno seducente. Ma proprio per questo, forse, più vero.</w:t>
      </w:r>
    </w:p>
    <w:p>
      <w:r>
        <w:br w:type="page"/>
      </w:r>
    </w:p>
    <w:p>
      <w:pPr>
        <w:pStyle w:val="Heading1"/>
      </w:pPr>
      <w:r>
        <w:t>Riferimenti teorici ed empirici essenziali</w:t>
      </w:r>
    </w:p>
    <w:p>
      <w:pPr>
        <w:pStyle w:val="RefItem"/>
      </w:pPr>
      <w:r>
        <w:t>[1] Luhmann, Niklas. 1979. Trust and Power. Chichester: Wiley.</w:t>
      </w:r>
    </w:p>
    <w:p>
      <w:pPr>
        <w:pStyle w:val="RefItem"/>
      </w:pPr>
      <w:r>
        <w:t>[2] Festinger, Leon. 1957. A Theory of Cognitive Dissonance. Stanford, CA: Stanford University Press.</w:t>
      </w:r>
    </w:p>
    <w:p>
      <w:pPr>
        <w:pStyle w:val="RefItem"/>
      </w:pPr>
      <w:r>
        <w:t>[3] Kahneman, Daniel. 2011. Thinking, Fast and Slow. New York: Farrar, Straus and Giroux.</w:t>
      </w:r>
    </w:p>
    <w:p>
      <w:pPr>
        <w:pStyle w:val="RefItem"/>
      </w:pPr>
      <w:r>
        <w:t>[4] Shiller, Robert J. 2000. Irrational Exuberance. Princeton, NJ: Princeton University Press.</w:t>
      </w:r>
    </w:p>
    <w:p>
      <w:pPr>
        <w:pStyle w:val="RefItem"/>
      </w:pPr>
      <w:r>
        <w:t>[5] Minsky, Hyman P. 1986. Stabilizing an Unstable Economy. New Haven, CT: Yale University Press.</w:t>
      </w:r>
    </w:p>
    <w:p>
      <w:pPr>
        <w:pStyle w:val="RefItem"/>
      </w:pPr>
      <w:r>
        <w:t>[6] Hayek, Friedrich A. 1988. The Fatal Conceit: The Errors of Socialism. Chicago: University of Chicago Press.</w:t>
      </w:r>
    </w:p>
    <w:p>
      <w:pPr>
        <w:pStyle w:val="RefItem"/>
      </w:pPr>
      <w:r>
        <w:t>[7] Prigogine, Ilya. 1997. The End of Certainty. New York: Free Press.</w:t>
      </w:r>
    </w:p>
    <w:p>
      <w:pPr>
        <w:pStyle w:val="RefItem"/>
      </w:pPr>
      <w:r>
        <w:t>[8] Barabási, Albert-László. 2002. Linked: The New Science of Networks. Cambridge, MA: Perseus.</w:t>
      </w:r>
    </w:p>
    <w:p>
      <w:pPr>
        <w:pStyle w:val="RefItem"/>
      </w:pPr>
      <w:r>
        <w:t>[9] Nakamoto, Satoshi. 2008. Bitcoin: A Peer-to-Peer Electronic Cash System.</w:t>
      </w:r>
    </w:p>
    <w:p>
      <w:pPr>
        <w:pStyle w:val="RefItem"/>
      </w:pPr>
      <w:r>
        <w:t>[10] Jordà, Òscar, Moritz Schularick, and Alan M. Taylor. 2011. “Financial Crises, Credit Booms, and External Imbalances: 140 Years of Lessons.” IMF Economic Review 59 (2): 340–378.</w:t>
      </w:r>
    </w:p>
    <w:p>
      <w:pPr>
        <w:pStyle w:val="RefItem"/>
      </w:pPr>
      <w:r>
        <w:t>[11] Shiller, Robert J. “U.S. Stock Markets 1871–Present and CAPE Ratio Data.” Yale University dataset.</w:t>
      </w:r>
    </w:p>
    <w:p>
      <w:pPr>
        <w:pStyle w:val="RefItem"/>
      </w:pPr>
      <w:r>
        <w:t>[12] Federal Reserve Bank of St. Louis. “Velocity of M2 Money Stock (M2V).” FRED database.</w:t>
      </w:r>
    </w:p>
    <w:p>
      <w:pPr>
        <w:pStyle w:val="RefItem"/>
      </w:pPr>
      <w:r>
        <w:t>[13] World Bank. 2020. Global Recessions.</w:t>
      </w:r>
    </w:p>
    <w:p>
      <w:pPr>
        <w:pStyle w:val="RefItem"/>
      </w:pPr>
      <w:r>
        <w:t>[14] International Monetary Fund. 2021. World Economic Outlook Update, January 2021.</w:t>
      </w:r>
    </w:p>
    <w:p>
      <w:pPr>
        <w:pStyle w:val="RefItem"/>
      </w:pPr>
      <w:r>
        <w:t>[15] The Conference Board. Consumer Confidence Survey.</w:t>
      </w:r>
    </w:p>
    <w:p>
      <w:pPr>
        <w:pStyle w:val="RefItem"/>
      </w:pPr>
      <w:r>
        <w:t>[16] Hamilton, James D. 2009. “Causes and Consequences of the Oil Shock of 2007–08.” NBER Working Paper No. 15002.</w:t>
      </w:r>
    </w:p>
    <w:p>
      <w:pPr>
        <w:pStyle w:val="RefItem"/>
      </w:pPr>
      <w:r>
        <w:t>[17] World Bank. 2022. Commodity Markets Outlook, April 2022.</w:t>
      </w:r>
    </w:p>
    <w:p>
      <w:pPr>
        <w:pStyle w:val="RefItem"/>
      </w:pPr>
      <w:r>
        <w:t>[18] International Energy Agency. 2022. Russia’s War on Ukraine.</w:t>
      </w:r>
    </w:p>
    <w:p>
      <w:pPr>
        <w:pStyle w:val="RefItem"/>
      </w:pPr>
      <w:r>
        <w:t>[19] European Central Bank. 2018. “Managing the Sovereign-Bank Nexus.” ECB Working Paper No. 2177.</w:t>
      </w:r>
    </w:p>
    <w:p>
      <w:pPr>
        <w:pStyle w:val="RefItem"/>
      </w:pPr>
      <w:r>
        <w:t>[20] International Monetary Fund. 1994. Dollarization in Lebanon. IMF Working Paper 94/129.</w:t>
      </w:r>
    </w:p>
    <w:p>
      <w:pPr>
        <w:pStyle w:val="RefItem"/>
      </w:pPr>
      <w:r>
        <w:t>[21] International Monetary Fund. 2023. “Elements of Effective Policies for Crypto Assets.” IMF policy and analytical papers on cryptoization.</w:t>
      </w:r>
    </w:p>
    <w:p>
      <w:pPr>
        <w:pStyle w:val="RefItem"/>
      </w:pPr>
      <w:r>
        <w:t>[22] Bank for International Settlements. 2024. “Central Bank Capital and Trust in Money: Lessons from History for the Digital Age.” BIS Papers No. 146.</w:t>
      </w:r>
    </w:p>
    <w:p>
      <w:pPr>
        <w:pStyle w:val="RefItem"/>
      </w:pPr>
      <w:r>
        <w:t>[23] Federal Reserve History. “Stock Market Crash of 1987.”</w:t>
      </w:r>
    </w:p>
    <w:p>
      <w:pPr>
        <w:pStyle w:val="RefItem"/>
      </w:pPr>
      <w:r>
        <w:t>[24] International Monetary Fund. Selected analytical work on the Asian financial crisis of 1997–98.</w:t>
      </w:r>
    </w:p>
    <w:sectPr w:rsidR="00FC693F" w:rsidRPr="0006063C" w:rsidSect="00034616">
      <w:headerReference w:type="default" r:id="rId9"/>
      <w:footerReference w:type="default" r:id="rId10"/>
      <w:headerReference w:type="first" r:id="rId11"/>
      <w:footerReference w:type="first" r:id="rId12"/>
      <w:pgSz w:w="11906" w:h="16838"/>
      <w:pgMar w:top="1304" w:right="1417" w:bottom="1304" w:left="1417" w:header="567" w:footer="567"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Times New Roman" w:hAnsi="Times New Roman"/>
        <w:sz w:val="18"/>
      </w:rPr>
      <w:t xml:space="preserve">Pagina </w:t>
    </w:r>
    <w:r>
      <w:fldChar w:fldCharType="begin"/>
      <w:instrText xml:space="preserve"> PAGE </w:instrTex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Times New Roman" w:hAnsi="Times New Roman"/>
        <w:sz w:val="18"/>
      </w:rPr>
      <w:t xml:space="preserve">Pagina </w:t>
    </w:r>
    <w:r>
      <w:fldChar w:fldCharType="begin"/>
      <w:instrText xml:space="preserve"> PAGE </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Times New Roman" w:hAnsi="Times New Roman"/>
        <w:i/>
        <w:color w:val="5A5A5A"/>
        <w:sz w:val="18"/>
      </w:rPr>
      <w:t>Il Ciclo della Fiducia</w:t>
    </w: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20"/>
      <w:jc w:val="both"/>
    </w:pPr>
    <w:rPr>
      <w:rFonts w:ascii="Times New Roman" w:hAnsi="Times New Roman" w:eastAsia="Times New Roman"/>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40" w:after="80"/>
      <w:outlineLvl w:val="0"/>
    </w:pPr>
    <w:rPr>
      <w:rFonts w:asciiTheme="majorHAnsi" w:eastAsiaTheme="majorEastAsia" w:hAnsiTheme="majorHAnsi" w:cstheme="majorBidi" w:ascii="Times New Roman" w:hAnsi="Times New Roman" w:eastAsia="Times New Roman"/>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80"/>
      <w:outlineLvl w:val="1"/>
    </w:pPr>
    <w:rPr>
      <w:rFonts w:asciiTheme="majorHAnsi" w:eastAsiaTheme="majorEastAsia" w:hAnsiTheme="majorHAnsi" w:cstheme="majorBidi" w:ascii="Times New Roman" w:hAnsi="Times New Roman" w:eastAsia="Times New Roman"/>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80"/>
      <w:outlineLvl w:val="2"/>
    </w:pPr>
    <w:rPr>
      <w:rFonts w:asciiTheme="majorHAnsi" w:eastAsiaTheme="majorEastAsia" w:hAnsiTheme="majorHAnsi" w:cstheme="majorBidi" w:ascii="Times New Roman" w:hAnsi="Times New Roman" w:eastAsia="Times New Roman"/>
      <w:b/>
      <w:bCs/>
      <w:color w:val="4F81BD" w:themeColor="accent1"/>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ubtitleCustom">
    <w:name w:val="SubtitleCustom"/>
    <w:pPr>
      <w:spacing w:after="280"/>
      <w:jc w:val="center"/>
    </w:pPr>
    <w:rPr>
      <w:rFonts w:ascii="Times New Roman" w:hAnsi="Times New Roman" w:eastAsia="Times New Roman"/>
      <w:i/>
      <w:sz w:val="24"/>
    </w:rPr>
  </w:style>
  <w:style w:type="paragraph" w:customStyle="1" w:styleId="AbstractTitle">
    <w:name w:val="AbstractTitle"/>
    <w:pPr>
      <w:spacing w:before="120" w:after="80"/>
    </w:pPr>
    <w:rPr>
      <w:rFonts w:ascii="Times New Roman" w:hAnsi="Times New Roman" w:eastAsia="Times New Roman"/>
      <w:b/>
      <w:sz w:val="22"/>
    </w:rPr>
  </w:style>
  <w:style w:type="paragraph" w:customStyle="1" w:styleId="RefItem">
    <w:name w:val="RefItem"/>
    <w:pPr>
      <w:spacing w:line="259" w:lineRule="auto" w:after="60"/>
      <w:ind w:left="454" w:hanging="454"/>
      <w:jc w:val="both"/>
    </w:pPr>
    <w:rPr>
      <w:rFonts w:ascii="Times New Roman" w:hAnsi="Times New Roman" w:eastAsia="Times New Roman"/>
      <w:sz w:val="21"/>
    </w:rPr>
  </w:style>
  <w:style w:type="paragraph" w:customStyle="1" w:styleId="EquationStyle">
    <w:name w:val="EquationStyle"/>
    <w:pPr>
      <w:spacing w:before="60" w:after="60"/>
      <w:jc w:val="center"/>
    </w:pPr>
    <w:rPr>
      <w:rFonts w:ascii="Times New Roman" w:hAnsi="Times New Roman" w:eastAsia="Times New Roman"/>
      <w:sz w:val="22"/>
    </w:rPr>
  </w:style>
  <w:style w:type="paragraph" w:customStyle="1" w:styleId="Keywords">
    <w:name w:val="Keywords"/>
    <w:pPr>
      <w:spacing w:after="160"/>
      <w:jc w:val="both"/>
    </w:pPr>
    <w:rPr>
      <w:rFonts w:ascii="Times New Roman" w:hAnsi="Times New Roman" w:eastAsia="Times New Roman"/>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header" Target="header2.xml"/><Relationship Id="rId1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 Ciclo della Fiducia</dc:title>
  <dc:subject>Paper accademico</dc:subject>
  <dc:creator>OpenAI</dc:creator>
  <cp:keywords/>
  <dc:description>Documento impaginato in stile accademico</dc:description>
  <cp:lastModifiedBy/>
  <cp:revision>1</cp:revision>
  <dcterms:created xsi:type="dcterms:W3CDTF">2013-12-23T23:15:00Z</dcterms:created>
  <dcterms:modified xsi:type="dcterms:W3CDTF">2013-12-23T23:15:00Z</dcterms:modified>
  <cp:category/>
  <dc:language>it-IT</dc:language>
</cp:coreProperties>
</file>